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130.png" ContentType="image/png"/>
  <Override PartName="/word/media/rId100.png" ContentType="image/png"/>
  <Override PartName="/word/media/rId143.png" ContentType="image/png"/>
  <Override PartName="/word/media/rId85.png" ContentType="image/png"/>
  <Override PartName="/word/media/rId23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2.png" ContentType="image/png"/>
  <Override PartName="/word/media/rId55.png" ContentType="image/png"/>
  <Override PartName="/word/media/rId59.png" ContentType="image/png"/>
  <Override PartName="/word/media/rId64.png" ContentType="image/png"/>
  <Override PartName="/word/media/rId68.png" ContentType="image/png"/>
  <Override PartName="/word/media/rId71.png" ContentType="image/png"/>
  <Override PartName="/word/media/rId76.png" ContentType="image/png"/>
  <Override PartName="/word/media/rId80.png" ContentType="image/png"/>
  <Override PartName="/word/media/rId89.png" ContentType="image/png"/>
  <Override PartName="/word/media/rId93.png" ContentType="image/png"/>
  <Override PartName="/word/media/rId96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5.png" ContentType="image/png"/>
  <Override PartName="/word/media/rId139.png" ContentType="image/png"/>
  <Override PartName="/word/media/rId20.png" ContentType="image/png"/>
  <Override PartName="/word/media/rId28.png" ContentType="image/png"/>
  <Override PartName="/word/media/rId32.png" ContentType="image/png"/>
  <Override PartName="/word/media/rId35.png" ContentType="image/png"/>
  <Override PartName="/word/media/rId38.png" ContentType="image/png"/>
  <Override PartName="/word/media/image2.gif" ContentType="image/gif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"/>
      </w:pPr>
      <w:r>
        <w:t xml:space="preserve">Nota</w:t>
      </w:r>
      <w:r>
        <w:t xml:space="preserve"> </w:t>
      </w:r>
      <w:r>
        <w:t xml:space="preserve">técnica</w:t>
      </w:r>
      <w:r>
        <w:t xml:space="preserve"> </w:t>
      </w:r>
      <w:r>
        <w:t xml:space="preserve">-</w:t>
      </w:r>
      <w:r>
        <w:t xml:space="preserve"> </w:t>
      </w:r>
      <w:r>
        <w:t xml:space="preserve">mudanças</w:t>
      </w:r>
      <w:r>
        <w:t xml:space="preserve"> </w:t>
      </w:r>
      <w:r>
        <w:t xml:space="preserve">recentes</w:t>
      </w:r>
      <w:r>
        <w:t xml:space="preserve"> </w:t>
      </w:r>
      <w:r>
        <w:t xml:space="preserve">na</w:t>
      </w:r>
      <w:r>
        <w:t xml:space="preserve"> </w:t>
      </w:r>
      <w:r>
        <w:t xml:space="preserve">produção</w:t>
      </w:r>
      <w:r>
        <w:t xml:space="preserve"> </w:t>
      </w:r>
      <w:r>
        <w:t xml:space="preserve">habitacional</w:t>
      </w:r>
      <w:r>
        <w:t xml:space="preserve"> </w:t>
      </w:r>
      <w:r>
        <w:t xml:space="preserve">formal</w:t>
      </w:r>
      <w:r>
        <w:t xml:space="preserve"> </w:t>
      </w:r>
      <w:r>
        <w:t xml:space="preserve">em</w:t>
      </w:r>
      <w:r>
        <w:t xml:space="preserve"> </w:t>
      </w:r>
      <w:r>
        <w:t xml:space="preserve">São</w:t>
      </w:r>
      <w:r>
        <w:t xml:space="preserve"> </w:t>
      </w:r>
      <w:r>
        <w:t xml:space="preserve">Paulo</w:t>
      </w:r>
    </w:p>
    <w:p>
      <w:pPr>
        <w:pStyle w:val="Author"/>
      </w:pPr>
      <w:r>
        <w:t xml:space="preserve">Por</w:t>
      </w:r>
      <w:r>
        <w:t xml:space="preserve"> </w:t>
      </w:r>
      <w:r>
        <w:t xml:space="preserve">Adriano</w:t>
      </w:r>
      <w:r>
        <w:t xml:space="preserve"> </w:t>
      </w:r>
      <w:r>
        <w:t xml:space="preserve">Borges</w:t>
      </w:r>
      <w:r>
        <w:t xml:space="preserve"> </w:t>
      </w:r>
      <w:r>
        <w:t xml:space="preserve">Costa</w:t>
      </w:r>
      <w:r>
        <w:t xml:space="preserve"> </w:t>
      </w:r>
      <w:r>
        <w:t xml:space="preserve">e</w:t>
      </w:r>
      <w:r>
        <w:t xml:space="preserve"> </w:t>
      </w:r>
      <w:r>
        <w:t xml:space="preserve">Evandro</w:t>
      </w:r>
      <w:r>
        <w:t xml:space="preserve"> </w:t>
      </w:r>
      <w:r>
        <w:t xml:space="preserve">Luis</w:t>
      </w:r>
    </w:p>
    <w:p>
      <w:pPr>
        <w:pStyle w:val="Date"/>
      </w:pPr>
      <w:r>
        <w:t xml:space="preserve">Em</w:t>
      </w:r>
      <w:r>
        <w:t xml:space="preserve"> </w:t>
      </w:r>
      <w:r>
        <w:t xml:space="preserve">27</w:t>
      </w:r>
      <w:r>
        <w:t xml:space="preserve"> </w:t>
      </w:r>
      <w:r>
        <w:t xml:space="preserve">de</w:t>
      </w:r>
      <w:r>
        <w:t xml:space="preserve"> </w:t>
      </w:r>
      <w:r>
        <w:t xml:space="preserve">abril</w:t>
      </w:r>
      <w:r>
        <w:t xml:space="preserve"> </w:t>
      </w:r>
      <w:r>
        <w:t xml:space="preserve">de</w:t>
      </w:r>
      <w:r>
        <w:t xml:space="preserve"> </w:t>
      </w:r>
      <w:r>
        <w:t xml:space="preserve">2024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7" w:name="legislação"/>
    <w:p>
      <w:pPr>
        <w:pStyle w:val="Ttulo1"/>
      </w:pPr>
      <w:r>
        <w:rPr>
          <w:rStyle w:val="SectionNumber"/>
        </w:rPr>
        <w:t xml:space="preserve">1</w:t>
      </w:r>
      <w:r>
        <w:tab/>
      </w:r>
      <w:r>
        <w:t xml:space="preserve">Legislação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6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6" w:name="zoneamento-vs-macroáreas"/>
    <w:p>
      <w:pPr>
        <w:pStyle w:val="Ttulo2"/>
      </w:pPr>
      <w:r>
        <w:rPr>
          <w:rStyle w:val="SectionNumber"/>
        </w:rPr>
        <w:t xml:space="preserve">1.1</w:t>
      </w:r>
      <w:r>
        <w:tab/>
      </w:r>
      <w:r>
        <w:t xml:space="preserve">Zoneamento vs Macroáreas</w:t>
      </w:r>
    </w:p>
    <w:p>
      <w:pPr>
        <w:pStyle w:val="FirstParagraph"/>
      </w:pPr>
      <w:r>
        <w:drawing>
          <wp:inline>
            <wp:extent cx="5753100" cy="2176375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../../outputs/NT1_ProducaoHabitacionalFormal/nt1_analise_alvaras_files/table_stats_zoneamento_por_macroarea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7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End w:id="27"/>
    <w:bookmarkStart w:id="84" w:name="evolução-recente-do-mercado-imobiliário"/>
    <w:p>
      <w:pPr>
        <w:pStyle w:val="Ttulo1"/>
      </w:pPr>
      <w:r>
        <w:rPr>
          <w:rStyle w:val="SectionNumber"/>
        </w:rPr>
        <w:t xml:space="preserve">2</w:t>
      </w:r>
      <w:r>
        <w:tab/>
      </w:r>
      <w:r>
        <w:t xml:space="preserve">Evolução recente do mercado imobiliário</w:t>
      </w:r>
    </w:p>
    <w:bookmarkStart w:id="31" w:name="X87d353a8e7e50630be4a65485af031669f59c16"/>
    <w:p>
      <w:pPr>
        <w:pStyle w:val="Ttulo2"/>
      </w:pPr>
      <w:r>
        <w:rPr>
          <w:rStyle w:val="SectionNumber"/>
        </w:rPr>
        <w:t xml:space="preserve">2.1</w:t>
      </w:r>
      <w:r>
        <w:tab/>
      </w:r>
      <w:r>
        <w:t xml:space="preserve">Evolução do número de empreendimentos, unidades residenciais, área construída e área de terreno licenciados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8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41" w:name="Xad33eb4d298369a779862624070c45aee52273a"/>
    <w:p>
      <w:pPr>
        <w:pStyle w:val="Ttulo2"/>
      </w:pPr>
      <w:r>
        <w:rPr>
          <w:rStyle w:val="SectionNumber"/>
        </w:rPr>
        <w:t xml:space="preserve">2.2</w:t>
      </w:r>
      <w:r>
        <w:tab/>
      </w:r>
      <w:r>
        <w:t xml:space="preserve">Evolução do número de empreendimentos, unidades residenciais, área construída e área de terreno licenciados por categoria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9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753100" cy="4314825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9-2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753100" cy="4314825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9-3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51" w:name="X810d8c1ae4e44a796e7a359c445a563cd7983c3"/>
    <w:p>
      <w:pPr>
        <w:pStyle w:val="Ttulo2"/>
      </w:pPr>
      <w:r>
        <w:rPr>
          <w:rStyle w:val="SectionNumber"/>
        </w:rPr>
        <w:t xml:space="preserve">2.3</w:t>
      </w:r>
      <w:r>
        <w:tab/>
      </w:r>
      <w:r>
        <w:t xml:space="preserve">Evolução do número de empreendimentos, unidades residenciais, área construída e área de terreno em ERP licenciados por subcategoria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10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753100" cy="4314825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10-2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753100" cy="431482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10-3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1"/>
    <w:bookmarkStart w:id="63" w:name="X863b6192e97a0ca68c02d317ad6f12796aee982"/>
    <w:p>
      <w:pPr>
        <w:pStyle w:val="Ttulo2"/>
      </w:pPr>
      <w:r>
        <w:rPr>
          <w:rStyle w:val="SectionNumber"/>
        </w:rPr>
        <w:t xml:space="preserve">2.4</w:t>
      </w:r>
      <w:r>
        <w:tab/>
      </w:r>
      <w:r>
        <w:t xml:space="preserve">Evolução do número de empreendimentos HIS e HIS &amp; HMP segregados por porte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11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8" w:name="localização-de-erps-por-porte-2019-2021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Localização de ERP’s por porte (2019-2021)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12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"/>
    <w:bookmarkStart w:id="62" w:name="X4c6ecaf5b27d38c0c95a6387ba7e7b879d7d288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Top 20 - ERP’s de pequeno porte por km² por distrito e por cota parte (legislacao atual)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13-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End w:id="63"/>
    <w:bookmarkStart w:id="67" w:name="X0a78a73cb9d7231fc1e52e97082551ee080eb3e"/>
    <w:p>
      <w:pPr>
        <w:pStyle w:val="Ttulo2"/>
      </w:pPr>
      <w:r>
        <w:rPr>
          <w:rStyle w:val="SectionNumber"/>
        </w:rPr>
        <w:t xml:space="preserve">2.5</w:t>
      </w:r>
      <w:r>
        <w:tab/>
      </w:r>
      <w:r>
        <w:t xml:space="preserve">Distribuição percentual dos empreendimentos e unidades residenciais licenciados por tipo de empreendimento (períodos e regramentos selecionados)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14-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7"/>
    <w:bookmarkStart w:id="75" w:name="Xbb2aa534f13db8c3ffe96a78729968df9135026"/>
    <w:p>
      <w:pPr>
        <w:pStyle w:val="Ttulo2"/>
      </w:pPr>
      <w:r>
        <w:rPr>
          <w:rStyle w:val="SectionNumber"/>
        </w:rPr>
        <w:t xml:space="preserve">2.6</w:t>
      </w:r>
      <w:r>
        <w:tab/>
      </w:r>
      <w:r>
        <w:t xml:space="preserve">Evolução do número médio de unidades e da distribuição percentual dos empreendimentos ERM licenciados por porte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15-1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4" w:name="X94a45092c592fe0e43bea328af6781f0482cfa1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Evolução do número médio de unidades e da distribuição percentual dos empreendimentos ERP licenciados por porte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16-1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4"/>
    <w:bookmarkEnd w:id="75"/>
    <w:bookmarkStart w:id="79" w:name="Xf8432787215e111476f2668a8182b104c41d1b8"/>
    <w:p>
      <w:pPr>
        <w:pStyle w:val="Ttulo2"/>
      </w:pPr>
      <w:r>
        <w:rPr>
          <w:rStyle w:val="SectionNumber"/>
        </w:rPr>
        <w:t xml:space="preserve">2.7</w:t>
      </w:r>
      <w:r>
        <w:tab/>
      </w:r>
      <w:r>
        <w:t xml:space="preserve">Evolução das áreas médias das unidades residenciais por tipo de empreendimento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17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Start w:id="83" w:name="X3d2112f8dd669c53c28a49a147b67c888575265"/>
    <w:p>
      <w:pPr>
        <w:pStyle w:val="Ttulo2"/>
      </w:pPr>
      <w:r>
        <w:rPr>
          <w:rStyle w:val="SectionNumber"/>
        </w:rPr>
        <w:t xml:space="preserve">2.8</w:t>
      </w:r>
      <w:r>
        <w:tab/>
      </w:r>
      <w:r>
        <w:t xml:space="preserve">Localização por área construída por unidade (2019-2021)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18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End w:id="84"/>
    <w:bookmarkStart w:id="105" w:name="zoneamento-importa"/>
    <w:p>
      <w:pPr>
        <w:pStyle w:val="Ttulo1"/>
      </w:pPr>
      <w:r>
        <w:rPr>
          <w:rStyle w:val="SectionNumber"/>
        </w:rPr>
        <w:t xml:space="preserve">3</w:t>
      </w:r>
      <w:r>
        <w:tab/>
      </w:r>
      <w:r>
        <w:t xml:space="preserve">Zoneamento importa</w:t>
      </w:r>
    </w:p>
    <w:bookmarkStart w:id="88" w:name="Xb97c89164ccafc7425bf99f8b870929aadfda12"/>
    <w:p>
      <w:pPr>
        <w:pStyle w:val="Ttulo2"/>
      </w:pPr>
      <w:r>
        <w:rPr>
          <w:rStyle w:val="SectionNumber"/>
        </w:rPr>
        <w:t xml:space="preserve">3.1</w:t>
      </w:r>
      <w:r>
        <w:tab/>
      </w:r>
      <w:r>
        <w:t xml:space="preserve">Variações no número de empreendimentos, unidades residenciais e áreas de construção e terreno licenciados no perímetro das atuais Macrozonas (regramentos selecionados)</w:t>
      </w:r>
    </w:p>
    <w:p>
      <w:pPr>
        <w:pStyle w:val="FirstParagraph"/>
      </w:pPr>
      <w:r>
        <w:drawing>
          <wp:inline>
            <wp:extent cx="5753100" cy="2899889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../../outputs/NT1_ProducaoHabitacionalFormal/nt1_analise_alvaras_files/table_shifts_alvaras_macroarea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99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8"/>
    <w:bookmarkStart w:id="92" w:name="Xf6ad426655ea531ee4fbbdf681477b708ed29db"/>
    <w:p>
      <w:pPr>
        <w:pStyle w:val="Ttulo2"/>
      </w:pPr>
      <w:r>
        <w:rPr>
          <w:rStyle w:val="SectionNumber"/>
        </w:rPr>
        <w:t xml:space="preserve">3.2</w:t>
      </w:r>
      <w:r>
        <w:tab/>
      </w:r>
      <w:r>
        <w:t xml:space="preserve">Evolução do número de unidades residenciais licenciados nos perímetros das zonas atuais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20-1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2"/>
    <w:bookmarkStart w:id="104" w:name="Xd0b71e76db01f2e116a8e5bf436a8d640bb74fd"/>
    <w:p>
      <w:pPr>
        <w:pStyle w:val="Ttulo2"/>
      </w:pPr>
      <w:r>
        <w:rPr>
          <w:rStyle w:val="SectionNumber"/>
        </w:rPr>
        <w:t xml:space="preserve">3.3</w:t>
      </w:r>
      <w:r>
        <w:tab/>
      </w:r>
      <w:r>
        <w:t xml:space="preserve">Evolução da distribuição percentual de unidades residenciais licenciados por zoneamento (2013-2021; períodos e regramentos selecionados)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22-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Em quais zonas da cidade estão sendo construídos os ERP’s e ERM’s? Os gráficos a seguir trazem uma síntese.</w:t>
      </w:r>
    </w:p>
    <w:bookmarkStart w:id="99" w:name="Xa3103905b7f71fabd391630cbdf62bbaaf9d05b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Distribuição dos licenciamentos por categoria e zona de uso a partir do zoneamento vigente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23-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3" w:name="X89cb3fa11e1d9535e1feaf3d210544a584bd018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Variações no número de ERP’s licenciados por zoneamento</w:t>
      </w:r>
    </w:p>
    <w:p>
      <w:pPr>
        <w:pStyle w:val="FirstParagraph"/>
      </w:pPr>
      <w:r>
        <w:drawing>
          <wp:inline>
            <wp:extent cx="5753100" cy="725803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../../outputs/NT1_ProducaoHabitacionalFormal/nt1_analise_alvaras_files/table_shifts_alvaras_erp_zona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258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3"/>
    <w:bookmarkEnd w:id="104"/>
    <w:bookmarkEnd w:id="105"/>
    <w:bookmarkStart w:id="134" w:name="formas-emergentes-de-segregação-espacial"/>
    <w:p>
      <w:pPr>
        <w:pStyle w:val="Ttulo1"/>
      </w:pPr>
      <w:r>
        <w:rPr>
          <w:rStyle w:val="SectionNumber"/>
        </w:rPr>
        <w:t xml:space="preserve">4</w:t>
      </w:r>
      <w:r>
        <w:tab/>
      </w:r>
      <w:r>
        <w:t xml:space="preserve">Formas emergentes de segregação espacial</w:t>
      </w:r>
    </w:p>
    <w:bookmarkStart w:id="109" w:name="Xfeef32cbad547d2a5b8a04b2f11904b3adf7362"/>
    <w:p>
      <w:pPr>
        <w:pStyle w:val="Ttulo2"/>
      </w:pPr>
      <w:r>
        <w:rPr>
          <w:rStyle w:val="SectionNumber"/>
        </w:rPr>
        <w:t xml:space="preserve">4.1</w:t>
      </w:r>
      <w:r>
        <w:tab/>
      </w:r>
      <w:r>
        <w:t xml:space="preserve">Localização de empreendimentos licenciados por tipo de empreendimento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25-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Start w:id="113" w:name="X1872c8f3e782ae81ca0aeefe840fa8df9bd1e83"/>
    <w:p>
      <w:pPr>
        <w:pStyle w:val="Ttulo2"/>
      </w:pPr>
      <w:r>
        <w:rPr>
          <w:rStyle w:val="SectionNumber"/>
        </w:rPr>
        <w:t xml:space="preserve">4.2</w:t>
      </w:r>
      <w:r>
        <w:tab/>
      </w:r>
      <w:r>
        <w:t xml:space="preserve">Distribuição dos empreendimentos em função de sua distância ao centro da cidade (2013-2015 e 2019-2021)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26-1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17" w:name="X212880745b240b207f70cc7e1d5fd0a39df3089"/>
    <w:p>
      <w:pPr>
        <w:pStyle w:val="Ttulo2"/>
      </w:pPr>
      <w:r>
        <w:rPr>
          <w:rStyle w:val="SectionNumber"/>
        </w:rPr>
        <w:t xml:space="preserve">4.3</w:t>
      </w:r>
      <w:r>
        <w:tab/>
      </w:r>
      <w:r>
        <w:t xml:space="preserve">Acessibilidade de empregos em São Paulo - 2019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27-1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7"/>
    <w:bookmarkStart w:id="121" w:name="Xc50eedfa4422e5c55c12a0a9d1c97d1ad4997b8"/>
    <w:p>
      <w:pPr>
        <w:pStyle w:val="Ttulo2"/>
      </w:pPr>
      <w:r>
        <w:rPr>
          <w:rStyle w:val="SectionNumber"/>
        </w:rPr>
        <w:t xml:space="preserve">4.4</w:t>
      </w:r>
      <w:r>
        <w:tab/>
      </w:r>
      <w:r>
        <w:t xml:space="preserve">Distribuição dos empreendimentos em função do indicador de acessibilidade de empregos no entorno (2013-2015 e 2019-2021)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28-1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1"/>
    <w:bookmarkStart w:id="125" w:name="X703b9a3635b4d95129edbc41b19fae9f5f51cd5"/>
    <w:p>
      <w:pPr>
        <w:pStyle w:val="Ttulo2"/>
      </w:pPr>
      <w:r>
        <w:rPr>
          <w:rStyle w:val="SectionNumber"/>
        </w:rPr>
        <w:t xml:space="preserve">4.5</w:t>
      </w:r>
      <w:r>
        <w:tab/>
      </w:r>
      <w:r>
        <w:t xml:space="preserve">Mapa de calor da distribuição espacial dos empreendimentos ERP (2013-2015 e 2019-2021)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29-1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5"/>
    <w:bookmarkStart w:id="129" w:name="Xc7e65964a947c2c9ee9349049d87ef6bc5f8bd0"/>
    <w:p>
      <w:pPr>
        <w:pStyle w:val="Ttulo2"/>
      </w:pPr>
      <w:r>
        <w:rPr>
          <w:rStyle w:val="SectionNumber"/>
        </w:rPr>
        <w:t xml:space="preserve">4.6</w:t>
      </w:r>
      <w:r>
        <w:tab/>
      </w:r>
      <w:r>
        <w:t xml:space="preserve">Mapa de calor da distribuição espacial dos empreendimentos ERM (2013-2015 e 2019-2021)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30-1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9"/>
    <w:bookmarkStart w:id="133" w:name="X5dffef92f57d2dd8ff19494e9ec1a467646af56"/>
    <w:p>
      <w:pPr>
        <w:pStyle w:val="Ttulo2"/>
      </w:pPr>
      <w:r>
        <w:rPr>
          <w:rStyle w:val="SectionNumber"/>
        </w:rPr>
        <w:t xml:space="preserve">4.7</w:t>
      </w:r>
      <w:r>
        <w:tab/>
      </w:r>
      <w:r>
        <w:t xml:space="preserve">Indicadores espaciais dos empreendimentos por tipo (2013-2015 e 2019-2021)</w:t>
      </w:r>
    </w:p>
    <w:p>
      <w:pPr>
        <w:pStyle w:val="FirstParagraph"/>
      </w:pPr>
      <w:r>
        <w:t xml:space="preserve">Estatísticas I de Moran indicam contiguidade espacial e estatísticas G indicam concentração espacial</w:t>
      </w:r>
      <w:r>
        <w:t xml:space="preserve"> </w:t>
      </w:r>
      <w:r>
        <w:drawing>
          <wp:inline>
            <wp:extent cx="5753100" cy="1890470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../../outputs/NT1_ProducaoHabitacionalFormal/nt1_analise_alvaras_files/table_alvaras_sfstats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90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3"/>
    <w:bookmarkEnd w:id="134"/>
    <w:bookmarkStart w:id="147" w:name="miolos-de-bairro"/>
    <w:p>
      <w:pPr>
        <w:pStyle w:val="Ttulo1"/>
      </w:pPr>
      <w:r>
        <w:rPr>
          <w:rStyle w:val="SectionNumber"/>
        </w:rPr>
        <w:t xml:space="preserve">5</w:t>
      </w:r>
      <w:r>
        <w:tab/>
      </w:r>
      <w:r>
        <w:t xml:space="preserve">Miolos de bairro</w:t>
      </w:r>
    </w:p>
    <w:bookmarkStart w:id="138" w:name="Xc17a1795eaa58a8443b43b92f0eae4f7b1c8afc"/>
    <w:p>
      <w:pPr>
        <w:pStyle w:val="Ttulo2"/>
      </w:pPr>
      <w:r>
        <w:rPr>
          <w:rStyle w:val="SectionNumber"/>
        </w:rPr>
        <w:t xml:space="preserve">5.1</w:t>
      </w:r>
      <w:r>
        <w:tab/>
      </w:r>
      <w:r>
        <w:t xml:space="preserve">Evolução da distribuição percentual de unidades residenciais licenciados por local (2013-2021; períodos e regramentos selecionados)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36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32-1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8"/>
    <w:bookmarkStart w:id="142" w:name="X716dfccab131b5fbaee6d9fae4924257c45e02a"/>
    <w:p>
      <w:pPr>
        <w:pStyle w:val="Ttulo2"/>
      </w:pPr>
      <w:r>
        <w:rPr>
          <w:rStyle w:val="SectionNumber"/>
        </w:rPr>
        <w:t xml:space="preserve">5.2</w:t>
      </w:r>
      <w:r>
        <w:tab/>
      </w:r>
      <w:r>
        <w:t xml:space="preserve">Evolução da distribuição percentual de emprendimentos, unidades, área do terreno e área construída licenciados em regramentos selecionados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40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1_ProducaoHabitacionalFormal/nt1_analise_alvaras_files/figure-docx/unnamed-chunk-33-1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2"/>
    <w:bookmarkStart w:id="146" w:name="X4d0a7ea327284a69334856fa80a1d22255cc33c"/>
    <w:p>
      <w:pPr>
        <w:pStyle w:val="Ttulo2"/>
      </w:pPr>
      <w:r>
        <w:rPr>
          <w:rStyle w:val="SectionNumber"/>
        </w:rPr>
        <w:t xml:space="preserve">5.3</w:t>
      </w:r>
      <w:r>
        <w:tab/>
      </w:r>
      <w:r>
        <w:t xml:space="preserve">Variações no número de empreendimentos, unidades residenciais e áreas de construção e terreno licenciados em regramentos selecionados</w:t>
      </w:r>
    </w:p>
    <w:p>
      <w:pPr>
        <w:pStyle w:val="FirstParagraph"/>
      </w:pPr>
      <w:r>
        <w:drawing>
          <wp:inline>
            <wp:extent cx="5753100" cy="3961820"/>
            <wp:effectExtent b="0" l="0" r="0" t="0"/>
            <wp:docPr descr="" title="" id="144" name="Picture"/>
            <a:graphic>
              <a:graphicData uri="http://schemas.openxmlformats.org/drawingml/2006/picture">
                <pic:pic>
                  <pic:nvPicPr>
                    <pic:cNvPr descr="../../outputs/NT1_ProducaoHabitacionalFormal/nt1_analise_alvaras_files/table_shifts_alvaras_local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61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6"/>
    <w:bookmarkEnd w:id="147"/>
    <w:sectPr w:rsidR="001418C5" w:rsidRPr="00BF5B2D" w:rsidSect="001418C5">
      <w:footerReference r:id="rId10" w:type="default"/>
      <w:headerReference r:id="rId9" w:type="first"/>
      <w:footerReference r:id="rId11" w:type="first"/>
      <w:pgSz w:h="16840" w:w="11900"/>
      <w:pgMar w:bottom="1701" w:footer="709" w:gutter="0" w:header="709" w:left="1418" w:right="1412" w:top="1985"/>
      <w:cols w:space="708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A43660" w14:textId="77777777" w:rsidR="001418C5" w:rsidRPr="00BF5B2D" w:rsidRDefault="001418C5" w:rsidP="001418C5">
    <w:pPr>
      <w:pStyle w:val="Rodap"/>
      <w:rPr>
        <w:rFonts w:ascii="Verdana" w:hAnsi="Verdana"/>
        <w:color w:val="000000" w:themeColor="text1"/>
        <w:sz w:val="16"/>
        <w:szCs w:val="16"/>
        <w:lang w:val="pt-BR"/>
      </w:rPr>
    </w:pPr>
    <w:r w:rsidRPr="00BF5B2D">
      <w:rPr>
        <w:rFonts w:ascii="Verdana" w:hAnsi="Verdana"/>
        <w:color w:val="000000" w:themeColor="text1"/>
        <w:sz w:val="16"/>
        <w:szCs w:val="16"/>
        <w:lang w:val="pt-BR"/>
      </w:rPr>
      <w:t>Rua Quatá, 300 – Vila Olímpia 04546-042 São Paulo SP Brasil</w:t>
    </w:r>
  </w:p>
  <w:p w14:paraId="201DFFD6" w14:textId="23709CC1" w:rsidR="007715F2" w:rsidRPr="001418C5" w:rsidRDefault="001418C5" w:rsidP="001418C5">
    <w:pPr>
      <w:pStyle w:val="Rodap"/>
      <w:rPr>
        <w:rFonts w:ascii="Verdana" w:hAnsi="Verdana"/>
        <w:sz w:val="16"/>
        <w:szCs w:val="16"/>
      </w:rPr>
    </w:pPr>
    <w:r w:rsidRPr="007715F2">
      <w:rPr>
        <w:rFonts w:ascii="Verdana" w:hAnsi="Verdana"/>
        <w:sz w:val="16"/>
        <w:szCs w:val="16"/>
      </w:rPr>
      <w:t>55 11 4504</w:t>
    </w:r>
    <w:r>
      <w:rPr>
        <w:rFonts w:ascii="Verdana" w:hAnsi="Verdana"/>
        <w:sz w:val="16"/>
        <w:szCs w:val="16"/>
      </w:rPr>
      <w:t xml:space="preserve">-2400 | </w:t>
    </w:r>
    <w:hyperlink r:id="rId1" w:history="1">
      <w:r w:rsidRPr="00BF5B2D">
        <w:rPr>
          <w:rStyle w:val="Hyperlink"/>
          <w:rFonts w:ascii="Verdana" w:hAnsi="Verdana"/>
          <w:sz w:val="16"/>
          <w:szCs w:val="16"/>
        </w:rPr>
        <w:t>www.insper.edu.br</w:t>
      </w:r>
    </w:hyperlink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E31F01" w14:textId="210EEB55" w:rsidR="001418C5" w:rsidRPr="00BF5B2D" w:rsidRDefault="001418C5" w:rsidP="001418C5">
    <w:pPr>
      <w:pStyle w:val="Rodap"/>
      <w:rPr>
        <w:rFonts w:ascii="Verdana" w:hAnsi="Verdana"/>
        <w:color w:val="000000" w:themeColor="text1"/>
        <w:sz w:val="16"/>
        <w:szCs w:val="16"/>
        <w:lang w:val="pt-BR"/>
      </w:rPr>
    </w:pPr>
    <w:r w:rsidRPr="00BF5B2D">
      <w:rPr>
        <w:rFonts w:ascii="Verdana" w:hAnsi="Verdana"/>
        <w:color w:val="000000" w:themeColor="text1"/>
        <w:sz w:val="16"/>
        <w:szCs w:val="16"/>
        <w:lang w:val="pt-BR"/>
      </w:rPr>
      <w:t>Rua Quatá, 300 – Vila Olímpia 04546-042 São Paulo SP Brasil</w:t>
    </w:r>
  </w:p>
  <w:p w14:paraId="5980573C" w14:textId="63FAD17E" w:rsidR="001418C5" w:rsidRPr="001418C5" w:rsidRDefault="001418C5">
    <w:pPr>
      <w:pStyle w:val="Rodap"/>
      <w:rPr>
        <w:rFonts w:ascii="Verdana" w:hAnsi="Verdana"/>
        <w:sz w:val="16"/>
        <w:szCs w:val="16"/>
      </w:rPr>
    </w:pPr>
    <w:r w:rsidRPr="007715F2">
      <w:rPr>
        <w:rFonts w:ascii="Verdana" w:hAnsi="Verdana"/>
        <w:sz w:val="16"/>
        <w:szCs w:val="16"/>
      </w:rPr>
      <w:t>55 11 4504</w:t>
    </w:r>
    <w:r>
      <w:rPr>
        <w:rFonts w:ascii="Verdana" w:hAnsi="Verdana"/>
        <w:sz w:val="16"/>
        <w:szCs w:val="16"/>
      </w:rPr>
      <w:t xml:space="preserve">-2400 | </w:t>
    </w:r>
    <w:hyperlink r:id="rId1" w:history="1">
      <w:r w:rsidRPr="00BF5B2D">
        <w:rPr>
          <w:rStyle w:val="Hyperlink"/>
          <w:rFonts w:ascii="Verdana" w:hAnsi="Verdana"/>
          <w:sz w:val="16"/>
          <w:szCs w:val="16"/>
        </w:rPr>
        <w:t>www.insper.edu.br</w:t>
      </w:r>
    </w:hyperlink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7192C" w14:textId="77777777" w:rsidR="001418C5" w:rsidRDefault="001418C5" w:rsidP="001418C5">
    <w:pPr>
      <w:pStyle w:val="Cabealho"/>
    </w:pPr>
    <w:r>
      <w:rPr>
        <w:noProof/>
        <w:lang w:val="pt-BR" w:eastAsia="pt-BR"/>
      </w:rPr>
      <w:drawing>
        <wp:anchor distT="0" distB="0" distL="114300" distR="114300" simplePos="0" relativeHeight="251660288" behindDoc="0" locked="0" layoutInCell="1" allowOverlap="1" wp14:anchorId="460DB38E" wp14:editId="1124C9E7">
          <wp:simplePos x="0" y="0"/>
          <wp:positionH relativeFrom="column">
            <wp:posOffset>3888417</wp:posOffset>
          </wp:positionH>
          <wp:positionV relativeFrom="paragraph">
            <wp:posOffset>-442595</wp:posOffset>
          </wp:positionV>
          <wp:extent cx="2071784" cy="1172708"/>
          <wp:effectExtent l="0" t="0" r="0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topo-relatori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71784" cy="117270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pt-BR" w:eastAsia="pt-BR"/>
      </w:rPr>
      <w:drawing>
        <wp:anchor distT="0" distB="0" distL="114300" distR="114300" simplePos="0" relativeHeight="251659264" behindDoc="1" locked="0" layoutInCell="1" allowOverlap="1" wp14:anchorId="339F2045" wp14:editId="7AA5BEC5">
          <wp:simplePos x="0" y="0"/>
          <wp:positionH relativeFrom="column">
            <wp:posOffset>-1020</wp:posOffset>
          </wp:positionH>
          <wp:positionV relativeFrom="paragraph">
            <wp:posOffset>111916</wp:posOffset>
          </wp:positionV>
          <wp:extent cx="816964" cy="286596"/>
          <wp:effectExtent l="0" t="0" r="0" b="5715"/>
          <wp:wrapNone/>
          <wp:docPr id="5" name="Imagem 5" descr="Insper/Logo%20Insper/Insper-pos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per/Logo%20Insper/Insper-pos.gif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6497" cy="307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8C799B1" w14:textId="77777777" w:rsidR="001418C5" w:rsidRDefault="001418C5">
    <w:pPr>
      <w:pStyle w:val="Cabealho"/>
    </w:pPr>
  </w:p>
</w:hdr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70"/>
  <w:embedSystemFonts/>
  <w:proofState w:grammar="clean" w:spelling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eastAsia="ja-JP"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/>
  </w:docDefaults>
  <w:latentStyles w:count="375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1418C5"/>
    <w:rPr>
      <w:rFonts w:ascii="Verdana" w:cs="Times New Roman" w:eastAsia="Cambria" w:hAnsi="Verdana"/>
    </w:rPr>
  </w:style>
  <w:style w:styleId="Ttulo1" w:type="paragraph">
    <w:name w:val="heading 1"/>
    <w:basedOn w:val="Normal"/>
    <w:next w:val="Normal"/>
    <w:link w:val="Ttulo1Char"/>
    <w:uiPriority w:val="9"/>
    <w:qFormat/>
    <w:rsid w:val="001418C5"/>
    <w:pPr>
      <w:keepNext/>
      <w:keepLines/>
      <w:spacing w:before="240"/>
      <w:outlineLvl w:val="0"/>
    </w:pPr>
    <w:rPr>
      <w:rFonts w:cstheme="majorBidi" w:eastAsiaTheme="majorEastAsia"/>
      <w:b/>
      <w:color w:themeColor="text1" w:val="000000"/>
      <w:sz w:val="26"/>
      <w:szCs w:val="32"/>
    </w:rPr>
  </w:style>
  <w:style w:styleId="Ttulo2" w:type="paragraph">
    <w:name w:val="heading 2"/>
    <w:basedOn w:val="Normal"/>
    <w:next w:val="Normal"/>
    <w:link w:val="Ttulo2Char"/>
    <w:uiPriority w:val="9"/>
    <w:unhideWhenUsed/>
    <w:qFormat/>
    <w:rsid w:val="00E77979"/>
    <w:pPr>
      <w:keepNext/>
      <w:keepLines/>
      <w:spacing w:after="100" w:afterAutospacing="1" w:before="40"/>
      <w:outlineLvl w:val="1"/>
    </w:pPr>
    <w:rPr>
      <w:rFonts w:cstheme="majorBidi" w:eastAsiaTheme="majorEastAsia"/>
      <w:b/>
      <w:color w:themeColor="text1" w:val="000000"/>
      <w:sz w:val="22"/>
      <w:szCs w:val="26"/>
    </w:rPr>
  </w:style>
  <w:style w:default="1" w:styleId="Fontepargpadro" w:type="character">
    <w:name w:val="Default Paragraph Font"/>
    <w:uiPriority w:val="1"/>
    <w:unhideWhenUsed/>
  </w:style>
  <w:style w:default="1" w:styleId="Tabe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emlista" w:type="numbering">
    <w:name w:val="No List"/>
    <w:uiPriority w:val="99"/>
    <w:semiHidden/>
    <w:unhideWhenUsed/>
  </w:style>
  <w:style w:styleId="Cabealho" w:type="paragraph">
    <w:name w:val="header"/>
    <w:basedOn w:val="Normal"/>
    <w:link w:val="CabealhoChar"/>
    <w:uiPriority w:val="99"/>
    <w:unhideWhenUsed/>
    <w:rsid w:val="001418C5"/>
    <w:pPr>
      <w:tabs>
        <w:tab w:pos="4320" w:val="center"/>
        <w:tab w:pos="8640" w:val="right"/>
      </w:tabs>
    </w:pPr>
    <w:rPr>
      <w:rFonts w:cstheme="minorBidi" w:eastAsiaTheme="minorHAnsi"/>
    </w:rPr>
  </w:style>
  <w:style w:customStyle="1" w:styleId="CabealhoChar" w:type="character">
    <w:name w:val="Cabeçalho Char"/>
    <w:basedOn w:val="Fontepargpadro"/>
    <w:link w:val="Cabealho"/>
    <w:uiPriority w:val="99"/>
    <w:rsid w:val="001418C5"/>
    <w:rPr>
      <w:rFonts w:ascii="Verdana" w:hAnsi="Verdana"/>
    </w:rPr>
  </w:style>
  <w:style w:styleId="Rodap" w:type="paragraph">
    <w:name w:val="footer"/>
    <w:basedOn w:val="Normal"/>
    <w:link w:val="RodapChar"/>
    <w:uiPriority w:val="99"/>
    <w:unhideWhenUsed/>
    <w:rsid w:val="00003E00"/>
    <w:pPr>
      <w:tabs>
        <w:tab w:pos="4320" w:val="center"/>
        <w:tab w:pos="8640" w:val="right"/>
      </w:tabs>
    </w:pPr>
    <w:rPr>
      <w:rFonts w:asciiTheme="minorHAnsi" w:cstheme="minorBidi" w:eastAsiaTheme="minorHAnsi" w:hAnsiTheme="minorHAnsi"/>
    </w:rPr>
  </w:style>
  <w:style w:customStyle="1" w:styleId="RodapChar" w:type="character">
    <w:name w:val="Rodapé Char"/>
    <w:basedOn w:val="Fontepargpadro"/>
    <w:link w:val="Rodap"/>
    <w:uiPriority w:val="99"/>
    <w:rsid w:val="00003E00"/>
  </w:style>
  <w:style w:styleId="Textodebalo" w:type="paragraph">
    <w:name w:val="Balloon Text"/>
    <w:basedOn w:val="Normal"/>
    <w:link w:val="TextodebaloChar"/>
    <w:uiPriority w:val="99"/>
    <w:semiHidden/>
    <w:unhideWhenUsed/>
    <w:rsid w:val="00A334ED"/>
    <w:rPr>
      <w:rFonts w:ascii="Lucida Grande" w:cs="Lucida Grande" w:hAnsi="Lucida Grande"/>
      <w:sz w:val="18"/>
      <w:szCs w:val="18"/>
    </w:rPr>
  </w:style>
  <w:style w:customStyle="1" w:styleId="TextodebaloChar" w:type="character">
    <w:name w:val="Texto de balão Char"/>
    <w:basedOn w:val="Fontepargpadro"/>
    <w:link w:val="Textodebalo"/>
    <w:uiPriority w:val="99"/>
    <w:semiHidden/>
    <w:rsid w:val="00A334ED"/>
    <w:rPr>
      <w:rFonts w:ascii="Lucida Grande" w:cs="Lucida Grande" w:eastAsia="Cambria" w:hAnsi="Lucida Grande"/>
      <w:sz w:val="18"/>
      <w:szCs w:val="18"/>
    </w:rPr>
  </w:style>
  <w:style w:styleId="Hyperlink" w:type="character">
    <w:name w:val="Hyperlink"/>
    <w:basedOn w:val="Fontepargpadro"/>
    <w:uiPriority w:val="99"/>
    <w:unhideWhenUsed/>
    <w:rsid w:val="001418C5"/>
    <w:rPr>
      <w:color w:val="C00026"/>
      <w:u w:val="single"/>
    </w:rPr>
  </w:style>
  <w:style w:styleId="MenoPendente" w:type="character">
    <w:name w:val="Unresolved Mention"/>
    <w:basedOn w:val="Fontepargpadro"/>
    <w:uiPriority w:val="99"/>
    <w:rsid w:val="00BF5B2D"/>
    <w:rPr>
      <w:color w:val="605E5C"/>
      <w:shd w:color="auto" w:fill="E1DFDD" w:val="clear"/>
    </w:rPr>
  </w:style>
  <w:style w:styleId="Ttulo" w:type="paragraph">
    <w:name w:val="Title"/>
    <w:basedOn w:val="Normal"/>
    <w:next w:val="Normal"/>
    <w:link w:val="TtuloChar"/>
    <w:uiPriority w:val="10"/>
    <w:qFormat/>
    <w:rsid w:val="001418C5"/>
    <w:pPr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tuloChar" w:type="character">
    <w:name w:val="Título Char"/>
    <w:basedOn w:val="Fontepargpadro"/>
    <w:link w:val="Ttulo"/>
    <w:uiPriority w:val="10"/>
    <w:rsid w:val="001418C5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tulo1Char" w:type="character">
    <w:name w:val="Título 1 Char"/>
    <w:basedOn w:val="Fontepargpadro"/>
    <w:link w:val="Ttulo1"/>
    <w:uiPriority w:val="9"/>
    <w:rsid w:val="001418C5"/>
    <w:rPr>
      <w:rFonts w:ascii="Verdana" w:cstheme="majorBidi" w:eastAsiaTheme="majorEastAsia" w:hAnsi="Verdana"/>
      <w:b/>
      <w:color w:themeColor="text1" w:val="000000"/>
      <w:sz w:val="26"/>
      <w:szCs w:val="32"/>
    </w:rPr>
  </w:style>
  <w:style w:customStyle="1" w:styleId="Ttulo2Char" w:type="character">
    <w:name w:val="Título 2 Char"/>
    <w:basedOn w:val="Fontepargpadro"/>
    <w:link w:val="Ttulo2"/>
    <w:uiPriority w:val="9"/>
    <w:rsid w:val="00E77979"/>
    <w:rPr>
      <w:rFonts w:ascii="Verdana" w:cstheme="majorBidi" w:eastAsiaTheme="majorEastAsia" w:hAnsi="Verdana"/>
      <w:b/>
      <w:color w:themeColor="text1" w:val="000000"/>
      <w:sz w:val="22"/>
      <w:szCs w:val="26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footer1.xml" Type="http://schemas.openxmlformats.org/officeDocument/2006/relationships/footer" /><Relationship Id="rId11" Target="footer2.xml" Type="http://schemas.openxmlformats.org/officeDocument/2006/relationships/footer" /><Relationship Type="http://schemas.openxmlformats.org/officeDocument/2006/relationships/image" Id="rId130" Target="media/rId130.png" /><Relationship Type="http://schemas.openxmlformats.org/officeDocument/2006/relationships/image" Id="rId100" Target="media/rId100.png" /><Relationship Type="http://schemas.openxmlformats.org/officeDocument/2006/relationships/image" Id="rId143" Target="media/rId143.png" /><Relationship Type="http://schemas.openxmlformats.org/officeDocument/2006/relationships/image" Id="rId85" Target="media/rId85.png" /><Relationship Type="http://schemas.openxmlformats.org/officeDocument/2006/relationships/image" Id="rId23" Target="media/rId23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20" Target="media/rId20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insper.edu.br/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insper.edu.br/" TargetMode="External"/></Relationships>
</file>

<file path=word/_rels/footnotes.xml.rels><?xml version="1.0" encoding="UTF-8"?><Relationships xmlns="http://schemas.openxmlformats.org/package/2006/relationships" /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475</Words>
  <Characters>2568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Nota técnica - mudanças recentes na produção habitacional formal em São Paulo</dc:title>
  <dc:creator>Por Adriano Borges Costa e Evandro Luis</dc:creator>
  <cp:keywords/>
  <dcterms:created xsi:type="dcterms:W3CDTF">2024-04-27T15:33:16Z</dcterms:created>
  <dcterms:modified xsi:type="dcterms:W3CDTF">2024-04-27T15:33:16Z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Em 27 de abril de 2024</vt:lpwstr>
  </property>
</Properties>
</file>